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EE698" w14:textId="1C57189D" w:rsidR="00DB7E86" w:rsidRDefault="00DB7E86" w:rsidP="00DB7E86">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127</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Pr="008D7726">
        <w:rPr>
          <w:b/>
          <w:iCs/>
          <w:sz w:val="24"/>
          <w:szCs w:val="18"/>
        </w:rPr>
        <w:t>R3-</w:t>
      </w:r>
      <w:r w:rsidR="007F6BE8">
        <w:rPr>
          <w:b/>
          <w:iCs/>
          <w:sz w:val="24"/>
          <w:szCs w:val="18"/>
        </w:rPr>
        <w:t>250521</w:t>
      </w:r>
    </w:p>
    <w:bookmarkEnd w:id="0"/>
    <w:bookmarkEnd w:id="1"/>
    <w:bookmarkEnd w:id="2"/>
    <w:p w14:paraId="78F107B8" w14:textId="77777777" w:rsidR="00DB7E86" w:rsidRDefault="00DB7E86" w:rsidP="00DB7E86">
      <w:pPr>
        <w:pStyle w:val="3gpptitlecitytdocnumber"/>
        <w:spacing w:line="240" w:lineRule="auto"/>
        <w:rPr>
          <w:rFonts w:eastAsia="SimSun"/>
          <w:sz w:val="28"/>
          <w:szCs w:val="28"/>
          <w:lang w:val="en-US" w:eastAsia="zh-CN"/>
        </w:rPr>
      </w:pPr>
      <w:r>
        <w:rPr>
          <w:rFonts w:eastAsiaTheme="minorEastAsia"/>
          <w:szCs w:val="24"/>
          <w:lang w:eastAsia="zh-CN"/>
        </w:rPr>
        <w:t>Athens</w:t>
      </w:r>
      <w:r>
        <w:rPr>
          <w:rFonts w:eastAsiaTheme="minorEastAsia" w:hint="eastAsia"/>
          <w:szCs w:val="24"/>
          <w:lang w:eastAsia="zh-CN"/>
        </w:rPr>
        <w:t>,</w:t>
      </w:r>
      <w:r>
        <w:rPr>
          <w:rFonts w:eastAsiaTheme="minorEastAsia"/>
          <w:szCs w:val="24"/>
        </w:rPr>
        <w:t xml:space="preserve"> </w:t>
      </w:r>
      <w:r>
        <w:rPr>
          <w:rFonts w:eastAsiaTheme="minorEastAsia"/>
          <w:szCs w:val="24"/>
          <w:lang w:eastAsia="zh-CN"/>
        </w:rPr>
        <w:t>Greece</w:t>
      </w:r>
      <w:r>
        <w:rPr>
          <w:rFonts w:eastAsiaTheme="minorEastAsia" w:hint="eastAsia"/>
          <w:szCs w:val="24"/>
          <w:lang w:eastAsia="zh-CN"/>
        </w:rPr>
        <w:t>,</w:t>
      </w:r>
      <w:r>
        <w:rPr>
          <w:rFonts w:eastAsiaTheme="minorEastAsia"/>
          <w:szCs w:val="24"/>
        </w:rPr>
        <w:t xml:space="preserve"> 17</w:t>
      </w:r>
      <w:r>
        <w:rPr>
          <w:rFonts w:eastAsiaTheme="minorEastAsia"/>
          <w:szCs w:val="24"/>
          <w:vertAlign w:val="superscript"/>
        </w:rPr>
        <w:t>th</w:t>
      </w:r>
      <w:r>
        <w:rPr>
          <w:rFonts w:eastAsiaTheme="minorEastAsia"/>
          <w:szCs w:val="24"/>
        </w:rPr>
        <w:t xml:space="preserve"> – 21</w:t>
      </w:r>
      <w:r>
        <w:rPr>
          <w:rFonts w:eastAsiaTheme="minorEastAsia"/>
          <w:szCs w:val="24"/>
          <w:vertAlign w:val="superscript"/>
        </w:rPr>
        <w:t>st</w:t>
      </w:r>
      <w:r>
        <w:rPr>
          <w:rFonts w:eastAsiaTheme="minorEastAsia"/>
          <w:szCs w:val="24"/>
        </w:rPr>
        <w:t xml:space="preserve"> Feb 2025</w:t>
      </w:r>
    </w:p>
    <w:p w14:paraId="51C20804" w14:textId="3F9758E0" w:rsidR="00DB7E86" w:rsidRPr="009E553C" w:rsidRDefault="00DB7E86" w:rsidP="00DB7E86">
      <w:pPr>
        <w:pStyle w:val="a"/>
      </w:pPr>
      <w:r>
        <w:t>Agenda Item:</w:t>
      </w:r>
      <w:r>
        <w:tab/>
      </w:r>
      <w:r>
        <w:rPr>
          <w:rFonts w:hint="eastAsia"/>
        </w:rPr>
        <w:t>8.1</w:t>
      </w:r>
    </w:p>
    <w:p w14:paraId="1BBA6A21" w14:textId="77777777" w:rsidR="00DB7E86" w:rsidRPr="009E553C" w:rsidRDefault="00DB7E86" w:rsidP="00DB7E86">
      <w:pPr>
        <w:pStyle w:val="a"/>
      </w:pPr>
      <w:r>
        <w:t>Source:</w:t>
      </w:r>
      <w:r>
        <w:tab/>
      </w:r>
      <w:r w:rsidRPr="009E553C">
        <w:t>CMCC</w:t>
      </w:r>
    </w:p>
    <w:p w14:paraId="25D4FAAD" w14:textId="1CD4516B" w:rsidR="0054232F" w:rsidRPr="0054232F" w:rsidRDefault="0054232F" w:rsidP="0054232F">
      <w:pPr>
        <w:pStyle w:val="a"/>
      </w:pPr>
      <w:r w:rsidRPr="00EB6949">
        <w:t>Title:</w:t>
      </w:r>
      <w:r w:rsidRPr="00EB6949">
        <w:tab/>
      </w:r>
      <w:r w:rsidR="00893E98" w:rsidRPr="00893E98">
        <w:t xml:space="preserve">Discussion on </w:t>
      </w:r>
      <w:r w:rsidR="00612822">
        <w:t xml:space="preserve">SA4 </w:t>
      </w:r>
      <w:r w:rsidR="00612822" w:rsidRPr="000218AB">
        <w:rPr>
          <w:bCs w:val="0"/>
        </w:rPr>
        <w:t>LS Reply</w:t>
      </w:r>
      <w:r w:rsidR="00612822" w:rsidRPr="000B4DAE">
        <w:rPr>
          <w:bCs w:val="0"/>
        </w:rPr>
        <w:t xml:space="preserve"> on </w:t>
      </w:r>
      <w:r w:rsidR="00612822">
        <w:rPr>
          <w:bCs w:val="0"/>
        </w:rPr>
        <w:t>M</w:t>
      </w:r>
      <w:r w:rsidR="00612822" w:rsidRPr="000B4DAE">
        <w:rPr>
          <w:bCs w:val="0"/>
        </w:rPr>
        <w:t>ulti-</w:t>
      </w:r>
      <w:r w:rsidR="00612822">
        <w:rPr>
          <w:bCs w:val="0"/>
        </w:rPr>
        <w:t>M</w:t>
      </w:r>
      <w:r w:rsidR="00612822" w:rsidRPr="000B4DAE">
        <w:rPr>
          <w:bCs w:val="0"/>
        </w:rPr>
        <w:t xml:space="preserve">odality </w:t>
      </w:r>
      <w:r w:rsidR="00612822">
        <w:rPr>
          <w:bCs w:val="0"/>
        </w:rPr>
        <w:t>A</w:t>
      </w:r>
      <w:r w:rsidR="00612822" w:rsidRPr="000B4DAE">
        <w:rPr>
          <w:bCs w:val="0"/>
        </w:rPr>
        <w:t>wareness</w:t>
      </w:r>
    </w:p>
    <w:p w14:paraId="1945D9CA" w14:textId="77777777" w:rsidR="0054232F" w:rsidRPr="009E553C" w:rsidRDefault="0054232F" w:rsidP="0054232F">
      <w:pPr>
        <w:pStyle w:val="a"/>
      </w:pPr>
      <w:r w:rsidRPr="009E553C">
        <w:t>Document for:</w:t>
      </w:r>
      <w:r w:rsidRPr="009E553C">
        <w:tab/>
        <w:t>Discussions &amp; Approval</w:t>
      </w:r>
    </w:p>
    <w:p w14:paraId="04D7187A" w14:textId="77777777" w:rsidR="00CD4C7B" w:rsidRPr="00A51502" w:rsidRDefault="0056573F" w:rsidP="00751E63">
      <w:pPr>
        <w:pStyle w:val="Heading1"/>
        <w:rPr>
          <w:lang w:eastAsia="zh-CN"/>
        </w:rPr>
      </w:pPr>
      <w:r w:rsidRPr="00751E63">
        <w:t>Introduction</w:t>
      </w:r>
    </w:p>
    <w:p w14:paraId="415734D8" w14:textId="46ABACF8" w:rsidR="0039089C" w:rsidRPr="00560E20" w:rsidRDefault="00DB7E86" w:rsidP="00DB7E86">
      <w:pPr>
        <w:rPr>
          <w:rFonts w:ascii="Arial" w:hAnsi="Arial" w:cs="Arial"/>
          <w:sz w:val="22"/>
          <w:szCs w:val="22"/>
        </w:rPr>
      </w:pPr>
      <w:r w:rsidRPr="00560E20">
        <w:rPr>
          <w:rFonts w:ascii="Arial" w:hAnsi="Arial" w:cs="Arial"/>
          <w:sz w:val="22"/>
          <w:szCs w:val="22"/>
        </w:rPr>
        <w:t>SA</w:t>
      </w:r>
      <w:r w:rsidR="004249F6" w:rsidRPr="00560E20">
        <w:rPr>
          <w:rFonts w:ascii="Arial" w:hAnsi="Arial" w:cs="Arial"/>
          <w:sz w:val="22"/>
          <w:szCs w:val="22"/>
        </w:rPr>
        <w:t>4</w:t>
      </w:r>
      <w:r w:rsidR="008A54A5" w:rsidRPr="00560E20">
        <w:rPr>
          <w:rFonts w:ascii="Arial" w:hAnsi="Arial" w:cs="Arial"/>
          <w:sz w:val="22"/>
          <w:szCs w:val="22"/>
        </w:rPr>
        <w:t xml:space="preserve"> </w:t>
      </w:r>
      <w:r w:rsidRPr="00560E20">
        <w:rPr>
          <w:rFonts w:ascii="Arial" w:hAnsi="Arial" w:cs="Arial"/>
          <w:sz w:val="22"/>
          <w:szCs w:val="22"/>
        </w:rPr>
        <w:t xml:space="preserve">provides the feedback </w:t>
      </w:r>
      <w:r w:rsidR="004249F6" w:rsidRPr="00560E20">
        <w:rPr>
          <w:rFonts w:ascii="Arial" w:hAnsi="Arial" w:cs="Arial"/>
          <w:sz w:val="22"/>
          <w:szCs w:val="22"/>
        </w:rPr>
        <w:t>on multi-modality awareness as below</w:t>
      </w:r>
      <w:r w:rsidR="008A54A5" w:rsidRPr="00560E20">
        <w:rPr>
          <w:rFonts w:ascii="Arial" w:hAnsi="Arial" w:cs="Arial"/>
          <w:sz w:val="22"/>
          <w:szCs w:val="22"/>
        </w:rPr>
        <w:t xml:space="preserve"> </w:t>
      </w:r>
      <w:r w:rsidR="0054232F" w:rsidRPr="00560E20">
        <w:rPr>
          <w:rFonts w:ascii="Arial" w:hAnsi="Arial" w:cs="Arial"/>
          <w:sz w:val="22"/>
          <w:szCs w:val="22"/>
        </w:rPr>
        <w:fldChar w:fldCharType="begin"/>
      </w:r>
      <w:r w:rsidR="0054232F" w:rsidRPr="00560E20">
        <w:rPr>
          <w:rFonts w:ascii="Arial" w:hAnsi="Arial" w:cs="Arial"/>
          <w:sz w:val="22"/>
          <w:szCs w:val="22"/>
        </w:rPr>
        <w:instrText xml:space="preserve"> REF _Ref181699015 \r \h </w:instrText>
      </w:r>
      <w:r w:rsidRPr="00560E20">
        <w:rPr>
          <w:rFonts w:ascii="Arial" w:hAnsi="Arial" w:cs="Arial"/>
          <w:sz w:val="22"/>
          <w:szCs w:val="22"/>
        </w:rPr>
        <w:instrText xml:space="preserve"> \* MERGEFORMAT </w:instrText>
      </w:r>
      <w:r w:rsidR="0054232F" w:rsidRPr="00560E20">
        <w:rPr>
          <w:rFonts w:ascii="Arial" w:hAnsi="Arial" w:cs="Arial"/>
          <w:sz w:val="22"/>
          <w:szCs w:val="22"/>
        </w:rPr>
      </w:r>
      <w:r w:rsidR="0054232F" w:rsidRPr="00560E20">
        <w:rPr>
          <w:rFonts w:ascii="Arial" w:hAnsi="Arial" w:cs="Arial"/>
          <w:sz w:val="22"/>
          <w:szCs w:val="22"/>
        </w:rPr>
        <w:fldChar w:fldCharType="separate"/>
      </w:r>
      <w:r w:rsidR="005D52A8">
        <w:rPr>
          <w:rFonts w:ascii="Arial" w:hAnsi="Arial" w:cs="Arial"/>
          <w:sz w:val="22"/>
          <w:szCs w:val="22"/>
        </w:rPr>
        <w:t>[1]</w:t>
      </w:r>
      <w:r w:rsidR="0054232F" w:rsidRPr="00560E20">
        <w:rPr>
          <w:rFonts w:ascii="Arial" w:hAnsi="Arial" w:cs="Arial"/>
          <w:sz w:val="22"/>
          <w:szCs w:val="22"/>
        </w:rPr>
        <w:fldChar w:fldCharType="end"/>
      </w:r>
      <w:r w:rsidR="0039089C" w:rsidRPr="00560E20">
        <w:rPr>
          <w:rFonts w:ascii="Arial" w:hAnsi="Arial" w:cs="Arial"/>
          <w:sz w:val="22"/>
          <w:szCs w:val="22"/>
        </w:rPr>
        <w:t>:</w:t>
      </w:r>
    </w:p>
    <w:tbl>
      <w:tblPr>
        <w:tblStyle w:val="TableGrid"/>
        <w:tblW w:w="0" w:type="auto"/>
        <w:tblLook w:val="04A0" w:firstRow="1" w:lastRow="0" w:firstColumn="1" w:lastColumn="0" w:noHBand="0" w:noVBand="1"/>
      </w:tblPr>
      <w:tblGrid>
        <w:gridCol w:w="9631"/>
      </w:tblGrid>
      <w:tr w:rsidR="0039089C" w:rsidRPr="00751E63" w14:paraId="3A890318" w14:textId="77777777" w:rsidTr="0039089C">
        <w:tc>
          <w:tcPr>
            <w:tcW w:w="9631" w:type="dxa"/>
          </w:tcPr>
          <w:tbl>
            <w:tblPr>
              <w:tblStyle w:val="TableGrid"/>
              <w:tblW w:w="0" w:type="auto"/>
              <w:tblLook w:val="04A0" w:firstRow="1" w:lastRow="0" w:firstColumn="1" w:lastColumn="0" w:noHBand="0" w:noVBand="1"/>
            </w:tblPr>
            <w:tblGrid>
              <w:gridCol w:w="9405"/>
            </w:tblGrid>
            <w:tr w:rsidR="004249F6" w:rsidRPr="00560E20" w14:paraId="4E7093B3" w14:textId="77777777" w:rsidTr="004249F6">
              <w:tc>
                <w:tcPr>
                  <w:tcW w:w="9405" w:type="dxa"/>
                </w:tcPr>
                <w:p w14:paraId="0DC5D77A" w14:textId="77777777" w:rsidR="004249F6" w:rsidRPr="00560E20" w:rsidRDefault="004249F6" w:rsidP="004249F6">
                  <w:pPr>
                    <w:pStyle w:val="Agreement"/>
                    <w:widowControl w:val="0"/>
                    <w:autoSpaceDE w:val="0"/>
                    <w:autoSpaceDN w:val="0"/>
                    <w:adjustRightInd w:val="0"/>
                    <w:spacing w:before="120" w:after="120"/>
                    <w:ind w:leftChars="9" w:left="379" w:hanging="357"/>
                    <w:jc w:val="both"/>
                    <w:rPr>
                      <w:rFonts w:ascii="Arial" w:hAnsi="Arial" w:cs="Arial"/>
                      <w:sz w:val="20"/>
                      <w:szCs w:val="20"/>
                    </w:rPr>
                  </w:pPr>
                  <w:r w:rsidRPr="00560E20">
                    <w:rPr>
                      <w:rFonts w:ascii="Arial" w:hAnsi="Arial" w:cs="Arial"/>
                      <w:sz w:val="20"/>
                      <w:szCs w:val="20"/>
                    </w:rPr>
                    <w:t>RAN2 considers that based on multi-modal information:</w:t>
                  </w:r>
                </w:p>
                <w:p w14:paraId="79E81658" w14:textId="77777777" w:rsidR="004249F6" w:rsidRPr="00560E20" w:rsidRDefault="004249F6" w:rsidP="004249F6">
                  <w:pPr>
                    <w:pStyle w:val="Doc-text2"/>
                    <w:widowControl w:val="0"/>
                    <w:numPr>
                      <w:ilvl w:val="0"/>
                      <w:numId w:val="82"/>
                    </w:numPr>
                    <w:autoSpaceDE w:val="0"/>
                    <w:autoSpaceDN w:val="0"/>
                    <w:adjustRightInd w:val="0"/>
                    <w:spacing w:after="120"/>
                    <w:ind w:leftChars="254" w:left="967" w:hanging="357"/>
                    <w:jc w:val="both"/>
                    <w:rPr>
                      <w:rFonts w:ascii="Arial" w:hAnsi="Arial" w:cs="Arial"/>
                      <w:sz w:val="20"/>
                      <w:szCs w:val="20"/>
                    </w:rPr>
                  </w:pPr>
                  <w:r w:rsidRPr="00560E20">
                    <w:rPr>
                      <w:rFonts w:ascii="Arial" w:hAnsi="Arial" w:cs="Arial"/>
                      <w:b/>
                      <w:sz w:val="20"/>
                      <w:szCs w:val="20"/>
                    </w:rPr>
                    <w:t xml:space="preserve">The </w:t>
                  </w:r>
                  <w:proofErr w:type="spellStart"/>
                  <w:r w:rsidRPr="00560E20">
                    <w:rPr>
                      <w:rFonts w:ascii="Arial" w:hAnsi="Arial" w:cs="Arial"/>
                      <w:b/>
                      <w:sz w:val="20"/>
                      <w:szCs w:val="20"/>
                    </w:rPr>
                    <w:t>gNB</w:t>
                  </w:r>
                  <w:proofErr w:type="spellEnd"/>
                  <w:r w:rsidRPr="00560E20">
                    <w:rPr>
                      <w:rFonts w:ascii="Arial" w:hAnsi="Arial" w:cs="Arial"/>
                      <w:b/>
                      <w:sz w:val="20"/>
                      <w:szCs w:val="20"/>
                    </w:rPr>
                    <w:t xml:space="preserve"> may perform joint admission control. Details can be left up to RAN3 in potential WI phase. </w:t>
                  </w:r>
                </w:p>
                <w:p w14:paraId="57AE228E" w14:textId="77777777" w:rsidR="004249F6" w:rsidRPr="00560E20" w:rsidRDefault="004249F6" w:rsidP="004249F6">
                  <w:pPr>
                    <w:pStyle w:val="Doc-text2"/>
                    <w:widowControl w:val="0"/>
                    <w:numPr>
                      <w:ilvl w:val="0"/>
                      <w:numId w:val="82"/>
                    </w:numPr>
                    <w:autoSpaceDE w:val="0"/>
                    <w:autoSpaceDN w:val="0"/>
                    <w:adjustRightInd w:val="0"/>
                    <w:spacing w:after="120"/>
                    <w:ind w:leftChars="254" w:left="967" w:hanging="357"/>
                    <w:jc w:val="both"/>
                    <w:rPr>
                      <w:rFonts w:ascii="Arial" w:hAnsi="Arial" w:cs="Arial"/>
                      <w:sz w:val="20"/>
                      <w:szCs w:val="20"/>
                    </w:rPr>
                  </w:pPr>
                  <w:r w:rsidRPr="00560E20">
                    <w:rPr>
                      <w:rFonts w:ascii="Arial" w:hAnsi="Arial" w:cs="Arial"/>
                      <w:b/>
                      <w:sz w:val="20"/>
                      <w:szCs w:val="20"/>
                    </w:rPr>
                    <w:t xml:space="preserve">The </w:t>
                  </w:r>
                  <w:proofErr w:type="spellStart"/>
                  <w:r w:rsidRPr="00560E20">
                    <w:rPr>
                      <w:rFonts w:ascii="Arial" w:hAnsi="Arial" w:cs="Arial"/>
                      <w:b/>
                      <w:sz w:val="20"/>
                      <w:szCs w:val="20"/>
                    </w:rPr>
                    <w:t>gNB</w:t>
                  </w:r>
                  <w:proofErr w:type="spellEnd"/>
                  <w:r w:rsidRPr="00560E20">
                    <w:rPr>
                      <w:rFonts w:ascii="Arial" w:hAnsi="Arial" w:cs="Arial"/>
                      <w:b/>
                      <w:sz w:val="20"/>
                      <w:szCs w:val="20"/>
                    </w:rPr>
                    <w:t xml:space="preserve"> may consider this information during QoS flow to DRB mapping (up to </w:t>
                  </w:r>
                  <w:proofErr w:type="spellStart"/>
                  <w:r w:rsidRPr="00560E20">
                    <w:rPr>
                      <w:rFonts w:ascii="Arial" w:hAnsi="Arial" w:cs="Arial"/>
                      <w:b/>
                      <w:sz w:val="20"/>
                      <w:szCs w:val="20"/>
                    </w:rPr>
                    <w:t>gNB</w:t>
                  </w:r>
                  <w:proofErr w:type="spellEnd"/>
                  <w:r w:rsidRPr="00560E20">
                    <w:rPr>
                      <w:rFonts w:ascii="Arial" w:hAnsi="Arial" w:cs="Arial"/>
                      <w:b/>
                      <w:sz w:val="20"/>
                      <w:szCs w:val="20"/>
                    </w:rPr>
                    <w:t xml:space="preserve"> implementation)</w:t>
                  </w:r>
                </w:p>
              </w:tc>
            </w:tr>
          </w:tbl>
          <w:p w14:paraId="4FDF2C5E" w14:textId="77777777" w:rsidR="004249F6" w:rsidRPr="00560E20" w:rsidRDefault="004249F6" w:rsidP="004249F6">
            <w:pPr>
              <w:pStyle w:val="Header"/>
              <w:rPr>
                <w:rFonts w:cs="Arial"/>
                <w:sz w:val="20"/>
                <w:lang w:eastAsia="zh-CN"/>
              </w:rPr>
            </w:pPr>
            <w:r w:rsidRPr="00560E20">
              <w:rPr>
                <w:rFonts w:cs="Arial"/>
                <w:bCs/>
                <w:sz w:val="20"/>
                <w:lang w:eastAsia="zh-CN"/>
              </w:rPr>
              <w:t>Answer</w:t>
            </w:r>
            <w:r w:rsidRPr="00560E20">
              <w:rPr>
                <w:rFonts w:cs="Arial"/>
                <w:sz w:val="20"/>
                <w:lang w:eastAsia="zh-CN"/>
              </w:rPr>
              <w:t xml:space="preserve">: From an XR service perspective, it is generally desirable that the gNB should try to grant all associated QoS Flows for the XR service whenever possible. However, not all applications require all QoS flows to be granted. If the gNB cannot grant all associated QoS Flows, </w:t>
            </w:r>
            <w:r w:rsidRPr="00560E20">
              <w:rPr>
                <w:rFonts w:cs="Arial"/>
                <w:sz w:val="20"/>
              </w:rPr>
              <w:t xml:space="preserve">only the application layer can determine how to handle the case when the QoS flow for one modality cannot be established e.g. due to RAN resource limitations. For instance, it may be acceptable to an application if the QoS flow for video cannot be established with the requested QoS requirements but it may not be acceptable if the QoS flow for audio cannot be established.  The conditions under which particular QoS flows are considered essential for an application to continue are application specific and cannot be determined by 5GS.  </w:t>
            </w:r>
          </w:p>
          <w:p w14:paraId="3FB5F308" w14:textId="77777777" w:rsidR="004249F6" w:rsidRPr="00560E20" w:rsidRDefault="004249F6" w:rsidP="004249F6">
            <w:pPr>
              <w:pStyle w:val="Header"/>
              <w:rPr>
                <w:rFonts w:cs="Arial"/>
                <w:sz w:val="20"/>
                <w:lang w:eastAsia="zh-CN"/>
              </w:rPr>
            </w:pPr>
          </w:p>
          <w:tbl>
            <w:tblPr>
              <w:tblStyle w:val="TableGrid"/>
              <w:tblW w:w="0" w:type="auto"/>
              <w:tblLook w:val="04A0" w:firstRow="1" w:lastRow="0" w:firstColumn="1" w:lastColumn="0" w:noHBand="0" w:noVBand="1"/>
            </w:tblPr>
            <w:tblGrid>
              <w:gridCol w:w="9405"/>
            </w:tblGrid>
            <w:tr w:rsidR="004249F6" w:rsidRPr="00560E20" w14:paraId="48A4F29A" w14:textId="77777777" w:rsidTr="00FE2983">
              <w:tc>
                <w:tcPr>
                  <w:tcW w:w="9855" w:type="dxa"/>
                </w:tcPr>
                <w:p w14:paraId="42394E6D" w14:textId="77777777" w:rsidR="004249F6" w:rsidRPr="00560E20" w:rsidRDefault="004249F6" w:rsidP="004249F6">
                  <w:pPr>
                    <w:pStyle w:val="Agreement"/>
                    <w:widowControl w:val="0"/>
                    <w:autoSpaceDE w:val="0"/>
                    <w:autoSpaceDN w:val="0"/>
                    <w:adjustRightInd w:val="0"/>
                    <w:spacing w:before="120" w:after="120"/>
                    <w:ind w:left="357" w:hanging="357"/>
                    <w:jc w:val="both"/>
                    <w:rPr>
                      <w:rFonts w:ascii="Arial" w:hAnsi="Arial" w:cs="Arial"/>
                      <w:sz w:val="20"/>
                      <w:szCs w:val="20"/>
                    </w:rPr>
                  </w:pPr>
                  <w:r w:rsidRPr="00560E20">
                    <w:rPr>
                      <w:rFonts w:ascii="Arial" w:hAnsi="Arial" w:cs="Arial"/>
                      <w:sz w:val="20"/>
                      <w:szCs w:val="20"/>
                    </w:rPr>
                    <w:t>For DL, whether traffic synchronization (on a per packet basis) can be achieved depends on whether packet level synchronization information can be provided from CN to RAN.</w:t>
                  </w:r>
                </w:p>
                <w:p w14:paraId="2B82813E" w14:textId="77777777" w:rsidR="004249F6" w:rsidRPr="00560E20" w:rsidRDefault="004249F6" w:rsidP="004249F6">
                  <w:pPr>
                    <w:pStyle w:val="Agreement"/>
                    <w:widowControl w:val="0"/>
                    <w:tabs>
                      <w:tab w:val="clear" w:pos="1619"/>
                    </w:tabs>
                    <w:autoSpaceDE w:val="0"/>
                    <w:autoSpaceDN w:val="0"/>
                    <w:adjustRightInd w:val="0"/>
                    <w:spacing w:after="120"/>
                    <w:ind w:left="318" w:hanging="318"/>
                    <w:jc w:val="both"/>
                    <w:rPr>
                      <w:rFonts w:ascii="Arial" w:hAnsi="Arial" w:cs="Arial"/>
                      <w:sz w:val="20"/>
                      <w:szCs w:val="20"/>
                    </w:rPr>
                  </w:pPr>
                  <w:r w:rsidRPr="00560E20">
                    <w:rPr>
                      <w:rFonts w:ascii="Arial" w:hAnsi="Arial" w:cs="Arial"/>
                      <w:sz w:val="20"/>
                      <w:szCs w:val="20"/>
                    </w:rPr>
                    <w:t xml:space="preserve">RAN2 thinks PDU Set discard across QoS flows of the same multi-modal service based on the dependency information between the </w:t>
                  </w:r>
                  <w:proofErr w:type="spellStart"/>
                  <w:r w:rsidRPr="00560E20">
                    <w:rPr>
                      <w:rFonts w:ascii="Arial" w:hAnsi="Arial" w:cs="Arial"/>
                      <w:sz w:val="20"/>
                      <w:szCs w:val="20"/>
                    </w:rPr>
                    <w:t>mutli</w:t>
                  </w:r>
                  <w:proofErr w:type="spellEnd"/>
                  <w:r w:rsidRPr="00560E20">
                    <w:rPr>
                      <w:rFonts w:ascii="Arial" w:hAnsi="Arial" w:cs="Arial"/>
                      <w:sz w:val="20"/>
                      <w:szCs w:val="20"/>
                    </w:rPr>
                    <w:t>-modal flows can only be achieved in case the synchronization information can be available at the UE which is up to SA2/SA4.</w:t>
                  </w:r>
                </w:p>
              </w:tc>
            </w:tr>
          </w:tbl>
          <w:p w14:paraId="7AFBD7EE" w14:textId="77777777" w:rsidR="004249F6" w:rsidRPr="00560E20" w:rsidRDefault="004249F6" w:rsidP="004249F6">
            <w:pPr>
              <w:pStyle w:val="Header"/>
              <w:rPr>
                <w:rFonts w:cs="Arial"/>
                <w:sz w:val="20"/>
                <w:lang w:eastAsia="zh-CN"/>
              </w:rPr>
            </w:pPr>
            <w:r w:rsidRPr="00560E20">
              <w:rPr>
                <w:rFonts w:cs="Arial"/>
                <w:bCs/>
                <w:sz w:val="20"/>
                <w:lang w:eastAsia="zh-CN"/>
              </w:rPr>
              <w:t xml:space="preserve">Answer:  </w:t>
            </w:r>
            <w:r w:rsidRPr="00560E20">
              <w:rPr>
                <w:rFonts w:cs="Arial"/>
                <w:sz w:val="20"/>
                <w:lang w:eastAsia="zh-CN"/>
              </w:rPr>
              <w:t xml:space="preserve">For DL, from the application perspective, there are well-defined mechanisms to support synchronized playout among different media flows, e.g. RTP timestamps, jitter buffering mechanism in the RTP client. These mechanisms guarantee frame level synchronization but do not provide packet level synchronization among different media flows. There is no evidence to suggest 5GS per packet inter-modal synchronization is needed for XR services, as the very low round trip latency requirements will prevent the system from introducing unacceptable inter-modal skew. </w:t>
            </w:r>
          </w:p>
          <w:p w14:paraId="2A97CB6F" w14:textId="77777777" w:rsidR="004249F6" w:rsidRPr="00560E20" w:rsidRDefault="004249F6" w:rsidP="004249F6">
            <w:pPr>
              <w:pStyle w:val="Header"/>
              <w:rPr>
                <w:rFonts w:cs="Arial"/>
                <w:sz w:val="20"/>
                <w:lang w:eastAsia="zh-CN"/>
              </w:rPr>
            </w:pPr>
          </w:p>
          <w:p w14:paraId="1C643279" w14:textId="77777777" w:rsidR="004249F6" w:rsidRPr="00560E20" w:rsidRDefault="004249F6" w:rsidP="004249F6">
            <w:pPr>
              <w:pStyle w:val="Header"/>
              <w:rPr>
                <w:rFonts w:cs="Arial"/>
                <w:sz w:val="20"/>
                <w:lang w:eastAsia="zh-CN"/>
              </w:rPr>
            </w:pPr>
            <w:r w:rsidRPr="00560E20">
              <w:rPr>
                <w:rFonts w:cs="Arial"/>
                <w:sz w:val="20"/>
                <w:lang w:eastAsia="zh-CN"/>
              </w:rPr>
              <w:t xml:space="preserve">Regarding PDU Set discard, it is recommended that the 5GS not jointly discard packets across multi-modal flows. Receiving packets for some modalities is preferred than receiving none at all as this enables the application to use the received modalities to better manage the user experience (e.g., pause the video while rendering received audio packets, or render received video packets while concealing an audio packet drop). </w:t>
            </w:r>
          </w:p>
          <w:p w14:paraId="1E583F81" w14:textId="332B11E6" w:rsidR="0054232F" w:rsidRPr="00751E63" w:rsidRDefault="0054232F" w:rsidP="0054232F">
            <w:pPr>
              <w:spacing w:after="60"/>
              <w:outlineLvl w:val="0"/>
              <w:rPr>
                <w:rFonts w:cs="Arial"/>
                <w:sz w:val="21"/>
                <w:szCs w:val="21"/>
              </w:rPr>
            </w:pPr>
          </w:p>
        </w:tc>
      </w:tr>
    </w:tbl>
    <w:p w14:paraId="2AB7BFA0" w14:textId="77777777" w:rsidR="0039089C" w:rsidRDefault="0039089C" w:rsidP="00FE63C4"/>
    <w:p w14:paraId="35F88769" w14:textId="77777777" w:rsidR="008A54A5" w:rsidRDefault="00A51502" w:rsidP="00B40F0B">
      <w:pPr>
        <w:pStyle w:val="Heading1"/>
      </w:pPr>
      <w:r w:rsidRPr="00751E63">
        <w:rPr>
          <w:rFonts w:hint="eastAsia"/>
        </w:rPr>
        <w:lastRenderedPageBreak/>
        <w:t>Discussions</w:t>
      </w:r>
    </w:p>
    <w:p w14:paraId="07071FDB" w14:textId="3352FD31" w:rsidR="0023735D" w:rsidRPr="00560E20" w:rsidRDefault="0023735D" w:rsidP="0023735D">
      <w:pPr>
        <w:rPr>
          <w:rFonts w:ascii="Arial" w:eastAsia="Arial Unicode MS" w:hAnsi="Arial"/>
          <w:sz w:val="21"/>
          <w:szCs w:val="21"/>
          <w:lang w:val="en-GB" w:eastAsia="en-US"/>
        </w:rPr>
      </w:pPr>
      <w:r w:rsidRPr="00560E20">
        <w:rPr>
          <w:rFonts w:ascii="Arial" w:eastAsia="Arial Unicode MS" w:hAnsi="Arial"/>
          <w:sz w:val="21"/>
          <w:szCs w:val="21"/>
          <w:lang w:val="en-GB" w:eastAsia="en-US"/>
        </w:rPr>
        <w:t xml:space="preserve">According to SA4’s feedback on multi-modality awareness, XR services often have multiple types of data streams or modalities (e.g., video, audio, control signals, and sensory data). These different streams or modalities are mapped to QoS flows in the 5G network. The </w:t>
      </w:r>
      <w:proofErr w:type="spellStart"/>
      <w:r w:rsidRPr="00560E20">
        <w:rPr>
          <w:rFonts w:ascii="Arial" w:eastAsia="Arial Unicode MS" w:hAnsi="Arial"/>
          <w:sz w:val="21"/>
          <w:szCs w:val="21"/>
          <w:lang w:val="en-GB" w:eastAsia="en-US"/>
        </w:rPr>
        <w:t>gNB</w:t>
      </w:r>
      <w:proofErr w:type="spellEnd"/>
      <w:r w:rsidRPr="00560E20">
        <w:rPr>
          <w:rFonts w:ascii="Arial" w:eastAsia="Arial Unicode MS" w:hAnsi="Arial"/>
          <w:sz w:val="21"/>
          <w:szCs w:val="21"/>
          <w:lang w:val="en-GB" w:eastAsia="en-US"/>
        </w:rPr>
        <w:t xml:space="preserve"> should ideally aim to grant all associated QoS flows for an XR application, as XR services are sensitive to the simultaneous delivery of multiple data types (e.g., video with low latency and audio with high reliability).  While XR services benefit from having all QoS flows granted, not every application within the XR space requires every single QoS flow. For example, a basic AR application may function effectively even if some QoS flows, like high-bandwidth video streams, are not granted, as the application may only need minimal bandwidth for sensor data and low-latency control signals. Similarly, some XR applications might prioritize certain flows over others, depending on the modality (e.g., prioritizing video over less critical data streams such as low-resolution tracking data).</w:t>
      </w:r>
      <w:r w:rsidR="00861C90" w:rsidRPr="00560E20">
        <w:rPr>
          <w:rFonts w:ascii="Arial" w:eastAsia="Arial Unicode MS" w:hAnsi="Arial"/>
          <w:sz w:val="21"/>
          <w:szCs w:val="21"/>
          <w:lang w:val="en-GB" w:eastAsia="en-US"/>
        </w:rPr>
        <w:t xml:space="preserve"> Joint admission control shall take the context</w:t>
      </w:r>
      <w:r w:rsidR="009D64F0">
        <w:rPr>
          <w:rFonts w:ascii="Arial" w:eastAsia="Arial Unicode MS" w:hAnsi="Arial"/>
          <w:sz w:val="21"/>
          <w:szCs w:val="21"/>
          <w:lang w:val="en-GB" w:eastAsia="en-US"/>
        </w:rPr>
        <w:t xml:space="preserve"> </w:t>
      </w:r>
      <w:r w:rsidR="00861C90" w:rsidRPr="00560E20">
        <w:rPr>
          <w:rFonts w:ascii="Arial" w:eastAsia="Arial Unicode MS" w:hAnsi="Arial"/>
          <w:sz w:val="21"/>
          <w:szCs w:val="21"/>
          <w:lang w:val="en-GB" w:eastAsia="en-US"/>
        </w:rPr>
        <w:t xml:space="preserve">into consideration. Simply admit all or none is not a wise solution. </w:t>
      </w:r>
    </w:p>
    <w:p w14:paraId="380AC80F" w14:textId="77777777" w:rsidR="00560E20" w:rsidRPr="00560E20" w:rsidRDefault="00560E20" w:rsidP="0023735D">
      <w:pPr>
        <w:rPr>
          <w:rFonts w:ascii="Arial" w:eastAsia="Arial Unicode MS" w:hAnsi="Arial"/>
          <w:sz w:val="21"/>
          <w:szCs w:val="21"/>
          <w:lang w:val="en-GB" w:eastAsia="en-US"/>
        </w:rPr>
      </w:pPr>
    </w:p>
    <w:p w14:paraId="51EC5BF5" w14:textId="7543FA00" w:rsidR="00560E20" w:rsidRPr="00560E20" w:rsidRDefault="00560E20" w:rsidP="00560E20">
      <w:pPr>
        <w:rPr>
          <w:rFonts w:ascii="Arial" w:eastAsia="Arial Unicode MS" w:hAnsi="Arial"/>
          <w:sz w:val="21"/>
          <w:szCs w:val="21"/>
          <w:lang w:val="en-GB" w:eastAsia="en-US"/>
        </w:rPr>
      </w:pPr>
      <w:r w:rsidRPr="00560E20">
        <w:rPr>
          <w:rFonts w:ascii="Arial" w:eastAsia="Arial Unicode MS" w:hAnsi="Arial"/>
          <w:sz w:val="21"/>
          <w:szCs w:val="21"/>
          <w:lang w:val="en-GB" w:eastAsia="en-US"/>
        </w:rPr>
        <w:t xml:space="preserve">Inter-modal skew refers to the timing misalignment between different data streams (e.g., audio arriving significantly earlier than video). In XR services, this can degrade the user experience if not properly managed. Many XR applications are designed to handle minor timing variations between modalities at the application layer.  Implementing per-packet inter-modal synchronization at RAN would require additional signalling and processing, increased complexity, increased resource consumption without a corresponding improvement in user experience. </w:t>
      </w:r>
    </w:p>
    <w:p w14:paraId="236BB5E6" w14:textId="77777777" w:rsidR="00560E20" w:rsidRDefault="00560E20" w:rsidP="00560E20">
      <w:pPr>
        <w:rPr>
          <w:rFonts w:ascii="Arial" w:eastAsia="Arial Unicode MS" w:hAnsi="Arial"/>
          <w:sz w:val="20"/>
          <w:szCs w:val="20"/>
          <w:lang w:val="en-GB" w:eastAsia="en-US"/>
        </w:rPr>
      </w:pPr>
    </w:p>
    <w:p w14:paraId="7F7F2A3D" w14:textId="37647FBE" w:rsidR="006D53B9" w:rsidRPr="002C16FD" w:rsidRDefault="006D53B9" w:rsidP="006D53B9">
      <w:pPr>
        <w:rPr>
          <w:rFonts w:ascii="Arial" w:eastAsia="Arial Unicode MS" w:hAnsi="Arial"/>
          <w:sz w:val="21"/>
          <w:szCs w:val="21"/>
          <w:lang w:val="en-GB" w:eastAsia="en-US"/>
        </w:rPr>
      </w:pPr>
      <w:r w:rsidRPr="002C16FD">
        <w:rPr>
          <w:rFonts w:ascii="Arial" w:eastAsia="Arial Unicode MS" w:hAnsi="Arial"/>
          <w:sz w:val="21"/>
          <w:szCs w:val="21"/>
          <w:lang w:val="en-GB" w:eastAsia="en-US"/>
        </w:rPr>
        <w:t>Given that receiving</w:t>
      </w:r>
      <w:r w:rsidR="00BA128C" w:rsidRPr="002C16FD">
        <w:rPr>
          <w:rFonts w:ascii="Arial" w:eastAsia="Arial Unicode MS" w:hAnsi="Arial"/>
          <w:sz w:val="21"/>
          <w:szCs w:val="21"/>
          <w:lang w:val="en-GB" w:eastAsia="en-US"/>
        </w:rPr>
        <w:t xml:space="preserve"> packets for some modalities is preferred than receiving </w:t>
      </w:r>
      <w:proofErr w:type="gramStart"/>
      <w:r w:rsidR="00BA128C" w:rsidRPr="002C16FD">
        <w:rPr>
          <w:rFonts w:ascii="Arial" w:eastAsia="Arial Unicode MS" w:hAnsi="Arial"/>
          <w:sz w:val="21"/>
          <w:szCs w:val="21"/>
          <w:lang w:val="en-GB" w:eastAsia="en-US"/>
        </w:rPr>
        <w:t>none at all</w:t>
      </w:r>
      <w:proofErr w:type="gramEnd"/>
      <w:r w:rsidR="00BA128C" w:rsidRPr="002C16FD">
        <w:rPr>
          <w:rFonts w:ascii="Arial" w:eastAsia="Arial Unicode MS" w:hAnsi="Arial"/>
          <w:sz w:val="21"/>
          <w:szCs w:val="21"/>
          <w:lang w:val="en-GB" w:eastAsia="en-US"/>
        </w:rPr>
        <w:t xml:space="preserve"> as this enables the application to use the received modalities to better manage the user experience, the coordination of discarding packets across multi-modal flows </w:t>
      </w:r>
      <w:r w:rsidR="00DB4509" w:rsidRPr="002C16FD">
        <w:rPr>
          <w:rFonts w:ascii="Arial" w:eastAsia="Arial Unicode MS" w:hAnsi="Arial"/>
          <w:sz w:val="21"/>
          <w:szCs w:val="21"/>
          <w:lang w:val="en-GB" w:eastAsia="en-US"/>
        </w:rPr>
        <w:t xml:space="preserve">is </w:t>
      </w:r>
      <w:r w:rsidRPr="002C16FD">
        <w:rPr>
          <w:rFonts w:ascii="Arial" w:eastAsia="Arial Unicode MS" w:hAnsi="Arial"/>
          <w:sz w:val="21"/>
          <w:szCs w:val="21"/>
          <w:lang w:val="en-GB" w:eastAsia="en-US"/>
        </w:rPr>
        <w:t xml:space="preserve">not </w:t>
      </w:r>
      <w:r w:rsidR="00DB4509" w:rsidRPr="002C16FD">
        <w:rPr>
          <w:rFonts w:ascii="Arial" w:eastAsia="Arial Unicode MS" w:hAnsi="Arial"/>
          <w:sz w:val="21"/>
          <w:szCs w:val="21"/>
          <w:lang w:val="en-GB" w:eastAsia="en-US"/>
        </w:rPr>
        <w:t xml:space="preserve">needed </w:t>
      </w:r>
      <w:r w:rsidR="00BA128C" w:rsidRPr="002C16FD">
        <w:rPr>
          <w:rFonts w:ascii="Arial" w:eastAsia="Arial Unicode MS" w:hAnsi="Arial" w:hint="eastAsia"/>
          <w:sz w:val="21"/>
          <w:szCs w:val="21"/>
          <w:lang w:val="en-GB" w:eastAsia="en-US"/>
        </w:rPr>
        <w:t>i</w:t>
      </w:r>
      <w:r w:rsidR="00BA128C" w:rsidRPr="002C16FD">
        <w:rPr>
          <w:rFonts w:ascii="Arial" w:eastAsia="Arial Unicode MS" w:hAnsi="Arial"/>
          <w:sz w:val="21"/>
          <w:szCs w:val="21"/>
          <w:lang w:val="en-GB" w:eastAsia="en-US"/>
        </w:rPr>
        <w:t xml:space="preserve">f the multi-modal flows are distributed to dual connectivity paths. </w:t>
      </w:r>
      <w:r w:rsidRPr="002C16FD">
        <w:rPr>
          <w:rFonts w:ascii="Arial" w:eastAsia="Arial Unicode MS" w:hAnsi="Arial"/>
          <w:sz w:val="21"/>
          <w:szCs w:val="21"/>
          <w:lang w:val="en-GB" w:eastAsia="en-US"/>
        </w:rPr>
        <w:t xml:space="preserve">Applications </w:t>
      </w:r>
      <w:proofErr w:type="gramStart"/>
      <w:r w:rsidRPr="002C16FD">
        <w:rPr>
          <w:rFonts w:ascii="Arial" w:eastAsia="Arial Unicode MS" w:hAnsi="Arial"/>
          <w:sz w:val="21"/>
          <w:szCs w:val="21"/>
          <w:lang w:val="en-GB" w:eastAsia="en-US"/>
        </w:rPr>
        <w:t>are capable of adapting</w:t>
      </w:r>
      <w:proofErr w:type="gramEnd"/>
      <w:r w:rsidRPr="002C16FD">
        <w:rPr>
          <w:rFonts w:ascii="Arial" w:eastAsia="Arial Unicode MS" w:hAnsi="Arial"/>
          <w:sz w:val="21"/>
          <w:szCs w:val="21"/>
          <w:lang w:val="en-GB" w:eastAsia="en-US"/>
        </w:rPr>
        <w:t xml:space="preserve"> to partial data losses in specific modalities. For instance: If video packets are lost on the MN, the application can continue using the received audio packets from the SN. On the other hand, requiring MN and SN to coordinate packet discarding could introduce additional signaling overhead and processing delays. </w:t>
      </w:r>
    </w:p>
    <w:p w14:paraId="0F3CA88A" w14:textId="4C846384" w:rsidR="00560E20" w:rsidRPr="006D53B9" w:rsidRDefault="00560E20" w:rsidP="00560E20">
      <w:pPr>
        <w:rPr>
          <w:rFonts w:ascii="Arial" w:eastAsia="Arial Unicode MS" w:hAnsi="Arial"/>
          <w:sz w:val="20"/>
          <w:szCs w:val="20"/>
          <w:lang w:eastAsia="en-US"/>
        </w:rPr>
      </w:pPr>
    </w:p>
    <w:p w14:paraId="22666BA9" w14:textId="1CEAEDC8" w:rsidR="00052CB9" w:rsidRPr="008670C4" w:rsidRDefault="00052CB9" w:rsidP="00052CB9">
      <w:pPr>
        <w:pStyle w:val="Proposal"/>
        <w:rPr>
          <w:rFonts w:eastAsia="DengXian"/>
        </w:rPr>
      </w:pPr>
      <w:r w:rsidRPr="008670C4">
        <w:rPr>
          <w:rFonts w:eastAsia="DengXian"/>
        </w:rPr>
        <w:t xml:space="preserve">From RAN3 perspective, joint admission control </w:t>
      </w:r>
      <w:r>
        <w:rPr>
          <w:rFonts w:eastAsia="DengXian"/>
        </w:rPr>
        <w:t xml:space="preserve">and </w:t>
      </w:r>
      <w:bookmarkStart w:id="3" w:name="_Hlk184717088"/>
      <w:r w:rsidRPr="00141B62">
        <w:rPr>
          <w:rFonts w:eastAsia="DengXian"/>
        </w:rPr>
        <w:t>QoS flow to DRB mapping</w:t>
      </w:r>
      <w:bookmarkEnd w:id="3"/>
      <w:r>
        <w:rPr>
          <w:rFonts w:eastAsia="DengXian"/>
        </w:rPr>
        <w:t xml:space="preserve"> by using </w:t>
      </w:r>
      <w:r w:rsidRPr="00141B62">
        <w:rPr>
          <w:rFonts w:eastAsia="DengXian"/>
        </w:rPr>
        <w:t xml:space="preserve">multi-modality information (e.g., MMSID) is feasible, and </w:t>
      </w:r>
      <w:r w:rsidRPr="008670C4">
        <w:rPr>
          <w:rFonts w:eastAsia="DengXian"/>
        </w:rPr>
        <w:t xml:space="preserve">shall take the context into consideration. Simply admitting all or none is not a wise solution.  </w:t>
      </w:r>
    </w:p>
    <w:p w14:paraId="75F627A8" w14:textId="7353B600" w:rsidR="009C77A7" w:rsidRPr="00560E20" w:rsidRDefault="00560E20" w:rsidP="00CA42A3">
      <w:pPr>
        <w:pStyle w:val="Proposal"/>
        <w:rPr>
          <w:szCs w:val="20"/>
          <w:lang w:val="en-GB" w:eastAsia="en-US"/>
        </w:rPr>
      </w:pPr>
      <w:r w:rsidRPr="00560E20">
        <w:rPr>
          <w:szCs w:val="20"/>
          <w:lang w:val="en-GB" w:eastAsia="en-US"/>
        </w:rPr>
        <w:t>From RAN3 perspective, per packet inter-modal synchronization is complex to implement without expected user experience improvement.</w:t>
      </w:r>
    </w:p>
    <w:p w14:paraId="01F0D68A" w14:textId="32E47E28" w:rsidR="00560E20" w:rsidRPr="00CA42A3" w:rsidRDefault="00AA6C89" w:rsidP="00CA42A3">
      <w:pPr>
        <w:pStyle w:val="Proposal"/>
      </w:pPr>
      <w:r>
        <w:rPr>
          <w:rFonts w:hint="eastAsia"/>
        </w:rPr>
        <w:t xml:space="preserve">Joint </w:t>
      </w:r>
      <w:r w:rsidR="006D53B9">
        <w:t>packet discard is not</w:t>
      </w:r>
      <w:r w:rsidR="00BA128C">
        <w:t xml:space="preserve"> needed for multi-modal flows transmitted on different DRBs. </w:t>
      </w:r>
    </w:p>
    <w:p w14:paraId="0DB9D98B" w14:textId="692E72D7" w:rsidR="00CD4C7B" w:rsidRPr="008A54A5" w:rsidRDefault="00315925" w:rsidP="008A54A5">
      <w:pPr>
        <w:pStyle w:val="Heading1"/>
      </w:pPr>
      <w:r w:rsidRPr="008A54A5">
        <w:t>Conclusions</w:t>
      </w:r>
    </w:p>
    <w:p w14:paraId="67D20CC0" w14:textId="4051E9DD" w:rsidR="00633757" w:rsidRDefault="003104DD" w:rsidP="009C77A7">
      <w:pPr>
        <w:rPr>
          <w:sz w:val="21"/>
          <w:szCs w:val="21"/>
        </w:rPr>
      </w:pPr>
      <w:r w:rsidRPr="009C77A7">
        <w:rPr>
          <w:sz w:val="21"/>
          <w:szCs w:val="21"/>
        </w:rPr>
        <w:t xml:space="preserve">In this submission, </w:t>
      </w:r>
      <w:r w:rsidR="008744B6" w:rsidRPr="009C77A7">
        <w:rPr>
          <w:sz w:val="21"/>
          <w:szCs w:val="21"/>
        </w:rPr>
        <w:t xml:space="preserve">we discussed </w:t>
      </w:r>
      <w:r w:rsidR="006D53B9">
        <w:rPr>
          <w:sz w:val="21"/>
          <w:szCs w:val="21"/>
        </w:rPr>
        <w:t>multi-modality awareness at RAN</w:t>
      </w:r>
      <w:r w:rsidR="00780897" w:rsidRPr="009C77A7">
        <w:rPr>
          <w:sz w:val="21"/>
          <w:szCs w:val="21"/>
        </w:rPr>
        <w:t>. The following proposals are made:</w:t>
      </w:r>
    </w:p>
    <w:p w14:paraId="1456F6FE" w14:textId="77777777" w:rsidR="00D5526F" w:rsidRPr="00D5526F" w:rsidRDefault="00D5526F" w:rsidP="00D5526F">
      <w:pPr>
        <w:pStyle w:val="Proposal"/>
        <w:numPr>
          <w:ilvl w:val="0"/>
          <w:numId w:val="99"/>
        </w:numPr>
        <w:rPr>
          <w:rFonts w:eastAsia="DengXian"/>
        </w:rPr>
      </w:pPr>
      <w:r w:rsidRPr="00D5526F">
        <w:rPr>
          <w:rFonts w:eastAsia="DengXian"/>
        </w:rPr>
        <w:lastRenderedPageBreak/>
        <w:t xml:space="preserve">From RAN3 perspective, joint admission control and QoS flow to DRB mapping by using multi-modality information (e.g., MMSID) is feasible, and shall take the context into consideration. Simply admitting all or none is not a wise solution.  </w:t>
      </w:r>
    </w:p>
    <w:p w14:paraId="16DACDB9" w14:textId="77777777" w:rsidR="006D53B9" w:rsidRPr="00560E20" w:rsidRDefault="006D53B9" w:rsidP="006D53B9">
      <w:pPr>
        <w:pStyle w:val="Proposal"/>
        <w:rPr>
          <w:szCs w:val="20"/>
          <w:lang w:val="en-GB" w:eastAsia="en-US"/>
        </w:rPr>
      </w:pPr>
      <w:r w:rsidRPr="00560E20">
        <w:rPr>
          <w:szCs w:val="20"/>
          <w:lang w:val="en-GB" w:eastAsia="en-US"/>
        </w:rPr>
        <w:t>From RAN3 perspective, per packet inter-modal synchronization is complex to implement without expected user experience improvement.</w:t>
      </w:r>
    </w:p>
    <w:p w14:paraId="6695A6FE" w14:textId="77777777" w:rsidR="00AA6C89" w:rsidRPr="00CA42A3" w:rsidRDefault="00AA6C89" w:rsidP="00AA6C89">
      <w:pPr>
        <w:pStyle w:val="Proposal"/>
      </w:pPr>
      <w:r>
        <w:rPr>
          <w:rFonts w:hint="eastAsia"/>
        </w:rPr>
        <w:t xml:space="preserve">Joint </w:t>
      </w:r>
      <w:r>
        <w:t xml:space="preserve">packet discard is not needed for multi-modal flows transmitted on different DRBs. </w:t>
      </w:r>
    </w:p>
    <w:p w14:paraId="4C7CF7B9" w14:textId="77777777" w:rsidR="006D53B9" w:rsidRPr="009C77A7" w:rsidRDefault="006D53B9" w:rsidP="009C77A7">
      <w:pPr>
        <w:rPr>
          <w:sz w:val="21"/>
          <w:szCs w:val="21"/>
        </w:rPr>
      </w:pPr>
    </w:p>
    <w:p w14:paraId="47C7E22D" w14:textId="66777155" w:rsidR="006D312F" w:rsidRPr="00654DA0" w:rsidRDefault="006D312F" w:rsidP="00654DA0">
      <w:pPr>
        <w:pStyle w:val="Heading1"/>
      </w:pPr>
      <w:r w:rsidRPr="00654DA0">
        <w:t>Reference</w:t>
      </w:r>
      <w:r w:rsidR="00633757" w:rsidRPr="00654DA0">
        <w:t>s</w:t>
      </w:r>
    </w:p>
    <w:p w14:paraId="365B6AC1" w14:textId="090EE835" w:rsidR="008A54A5" w:rsidRPr="008A54A5" w:rsidRDefault="00DB7E86" w:rsidP="00654DA0">
      <w:pPr>
        <w:pStyle w:val="References"/>
        <w:rPr>
          <w:sz w:val="22"/>
          <w:szCs w:val="20"/>
        </w:rPr>
      </w:pPr>
      <w:bookmarkStart w:id="4" w:name="_Ref181699015"/>
      <w:bookmarkStart w:id="5" w:name="_Ref157696334"/>
      <w:bookmarkStart w:id="6" w:name="_Ref177241924"/>
      <w:bookmarkStart w:id="7" w:name="_Ref110933031"/>
      <w:r>
        <w:t>R3-2500</w:t>
      </w:r>
      <w:r w:rsidR="004249F6">
        <w:t>27</w:t>
      </w:r>
      <w:r w:rsidR="008A54A5">
        <w:rPr>
          <w:rFonts w:hint="eastAsia"/>
        </w:rPr>
        <w:t xml:space="preserve">, </w:t>
      </w:r>
      <w:bookmarkEnd w:id="4"/>
      <w:r w:rsidR="004249F6" w:rsidRPr="000218AB">
        <w:t>LS Reply</w:t>
      </w:r>
      <w:r w:rsidR="004249F6" w:rsidRPr="000B4DAE">
        <w:t xml:space="preserve"> on multi-modality awareness</w:t>
      </w:r>
    </w:p>
    <w:bookmarkEnd w:id="5"/>
    <w:bookmarkEnd w:id="6"/>
    <w:p w14:paraId="1C2EFD80" w14:textId="35057511" w:rsidR="006201BE" w:rsidRPr="00CA555C" w:rsidRDefault="006201BE" w:rsidP="008A54A5">
      <w:pPr>
        <w:pStyle w:val="References"/>
        <w:numPr>
          <w:ilvl w:val="0"/>
          <w:numId w:val="0"/>
        </w:numPr>
        <w:ind w:left="360"/>
        <w:rPr>
          <w:sz w:val="22"/>
          <w:szCs w:val="20"/>
        </w:rPr>
      </w:pPr>
    </w:p>
    <w:bookmarkEnd w:id="7"/>
    <w:p w14:paraId="0725C22B" w14:textId="77777777" w:rsidR="00821ACC" w:rsidRDefault="00821ACC" w:rsidP="006201BE">
      <w:pPr>
        <w:pStyle w:val="ListParagraph"/>
        <w:autoSpaceDE w:val="0"/>
        <w:autoSpaceDN w:val="0"/>
        <w:adjustRightInd w:val="0"/>
      </w:pPr>
    </w:p>
    <w:p w14:paraId="19139A93" w14:textId="77777777" w:rsidR="00821ACC" w:rsidRPr="00821ACC" w:rsidRDefault="00821ACC" w:rsidP="00821ACC">
      <w:pPr>
        <w:autoSpaceDE w:val="0"/>
        <w:autoSpaceDN w:val="0"/>
        <w:adjustRightInd w:val="0"/>
      </w:pPr>
    </w:p>
    <w:p w14:paraId="5C9A5D48" w14:textId="77777777" w:rsidR="00821ACC" w:rsidRPr="00821ACC" w:rsidRDefault="00821ACC">
      <w:pPr>
        <w:autoSpaceDE w:val="0"/>
        <w:autoSpaceDN w:val="0"/>
        <w:adjustRightInd w:val="0"/>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C16C8" w14:textId="77777777" w:rsidR="008B55D3" w:rsidRDefault="008B55D3">
      <w:r>
        <w:separator/>
      </w:r>
    </w:p>
  </w:endnote>
  <w:endnote w:type="continuationSeparator" w:id="0">
    <w:p w14:paraId="6FAE9C80" w14:textId="77777777" w:rsidR="008B55D3" w:rsidRDefault="008B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19B1" w14:textId="77777777" w:rsidR="008B55D3" w:rsidRDefault="008B55D3">
      <w:r>
        <w:separator/>
      </w:r>
    </w:p>
  </w:footnote>
  <w:footnote w:type="continuationSeparator" w:id="0">
    <w:p w14:paraId="14481833" w14:textId="77777777" w:rsidR="008B55D3" w:rsidRDefault="008B5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D7245"/>
    <w:multiLevelType w:val="multilevel"/>
    <w:tmpl w:val="30E672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2D77FB"/>
    <w:multiLevelType w:val="multilevel"/>
    <w:tmpl w:val="44FE3A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1"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6345B0A"/>
    <w:multiLevelType w:val="multilevel"/>
    <w:tmpl w:val="CB621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1"/>
  </w:num>
  <w:num w:numId="2" w16cid:durableId="929317424">
    <w:abstractNumId w:val="21"/>
  </w:num>
  <w:num w:numId="3" w16cid:durableId="1341658306">
    <w:abstractNumId w:val="51"/>
  </w:num>
  <w:num w:numId="4" w16cid:durableId="1931816443">
    <w:abstractNumId w:val="49"/>
  </w:num>
  <w:num w:numId="5" w16cid:durableId="1020010807">
    <w:abstractNumId w:val="8"/>
  </w:num>
  <w:num w:numId="6" w16cid:durableId="1691182668">
    <w:abstractNumId w:val="41"/>
  </w:num>
  <w:num w:numId="7" w16cid:durableId="608708262">
    <w:abstractNumId w:val="44"/>
  </w:num>
  <w:num w:numId="8" w16cid:durableId="1232159132">
    <w:abstractNumId w:val="23"/>
  </w:num>
  <w:num w:numId="9" w16cid:durableId="1522284675">
    <w:abstractNumId w:val="29"/>
  </w:num>
  <w:num w:numId="10" w16cid:durableId="1258907739">
    <w:abstractNumId w:val="5"/>
  </w:num>
  <w:num w:numId="11" w16cid:durableId="1866602296">
    <w:abstractNumId w:val="47"/>
  </w:num>
  <w:num w:numId="12" w16cid:durableId="872883717">
    <w:abstractNumId w:val="34"/>
  </w:num>
  <w:num w:numId="13" w16cid:durableId="489491498">
    <w:abstractNumId w:val="27"/>
  </w:num>
  <w:num w:numId="14" w16cid:durableId="27800098">
    <w:abstractNumId w:val="4"/>
  </w:num>
  <w:num w:numId="15" w16cid:durableId="1579092266">
    <w:abstractNumId w:val="38"/>
  </w:num>
  <w:num w:numId="16" w16cid:durableId="1672636787">
    <w:abstractNumId w:val="6"/>
  </w:num>
  <w:num w:numId="17" w16cid:durableId="1025518140">
    <w:abstractNumId w:val="43"/>
  </w:num>
  <w:num w:numId="18" w16cid:durableId="1711491104">
    <w:abstractNumId w:val="35"/>
  </w:num>
  <w:num w:numId="19" w16cid:durableId="1115977643">
    <w:abstractNumId w:val="22"/>
  </w:num>
  <w:num w:numId="20" w16cid:durableId="2029063295">
    <w:abstractNumId w:val="9"/>
  </w:num>
  <w:num w:numId="21" w16cid:durableId="1506286593">
    <w:abstractNumId w:val="12"/>
  </w:num>
  <w:num w:numId="22" w16cid:durableId="424887116">
    <w:abstractNumId w:val="39"/>
  </w:num>
  <w:num w:numId="23" w16cid:durableId="1031536640">
    <w:abstractNumId w:val="25"/>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1"/>
  </w:num>
  <w:num w:numId="26" w16cid:durableId="1852602584">
    <w:abstractNumId w:val="21"/>
  </w:num>
  <w:num w:numId="27" w16cid:durableId="1420516815">
    <w:abstractNumId w:val="21"/>
  </w:num>
  <w:num w:numId="28" w16cid:durableId="1160199736">
    <w:abstractNumId w:val="0"/>
  </w:num>
  <w:num w:numId="29" w16cid:durableId="1874537894">
    <w:abstractNumId w:val="55"/>
  </w:num>
  <w:num w:numId="30" w16cid:durableId="332757056">
    <w:abstractNumId w:val="46"/>
  </w:num>
  <w:num w:numId="31" w16cid:durableId="929393867">
    <w:abstractNumId w:val="13"/>
  </w:num>
  <w:num w:numId="32" w16cid:durableId="82456433">
    <w:abstractNumId w:val="36"/>
  </w:num>
  <w:num w:numId="33" w16cid:durableId="1266109118">
    <w:abstractNumId w:val="7"/>
  </w:num>
  <w:num w:numId="34" w16cid:durableId="1869677376">
    <w:abstractNumId w:val="53"/>
  </w:num>
  <w:num w:numId="35" w16cid:durableId="1450471578">
    <w:abstractNumId w:val="20"/>
  </w:num>
  <w:num w:numId="36" w16cid:durableId="1737898520">
    <w:abstractNumId w:val="54"/>
  </w:num>
  <w:num w:numId="37" w16cid:durableId="7204011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6"/>
  </w:num>
  <w:num w:numId="39" w16cid:durableId="388265492">
    <w:abstractNumId w:val="30"/>
  </w:num>
  <w:num w:numId="40" w16cid:durableId="2108573615">
    <w:abstractNumId w:val="21"/>
  </w:num>
  <w:num w:numId="41" w16cid:durableId="1083915559">
    <w:abstractNumId w:val="48"/>
  </w:num>
  <w:num w:numId="42" w16cid:durableId="1013142889">
    <w:abstractNumId w:val="21"/>
  </w:num>
  <w:num w:numId="43" w16cid:durableId="1900286869">
    <w:abstractNumId w:val="21"/>
  </w:num>
  <w:num w:numId="44" w16cid:durableId="717319588">
    <w:abstractNumId w:val="21"/>
  </w:num>
  <w:num w:numId="45" w16cid:durableId="129859372">
    <w:abstractNumId w:val="15"/>
  </w:num>
  <w:num w:numId="46" w16cid:durableId="1857229193">
    <w:abstractNumId w:val="32"/>
  </w:num>
  <w:num w:numId="47" w16cid:durableId="1297299387">
    <w:abstractNumId w:val="21"/>
  </w:num>
  <w:num w:numId="48" w16cid:durableId="1702389434">
    <w:abstractNumId w:val="32"/>
    <w:lvlOverride w:ilvl="0">
      <w:startOverride w:val="1"/>
    </w:lvlOverride>
  </w:num>
  <w:num w:numId="49" w16cid:durableId="1215852588">
    <w:abstractNumId w:val="16"/>
  </w:num>
  <w:num w:numId="50" w16cid:durableId="1356805918">
    <w:abstractNumId w:val="24"/>
  </w:num>
  <w:num w:numId="51" w16cid:durableId="621379240">
    <w:abstractNumId w:val="21"/>
  </w:num>
  <w:num w:numId="52" w16cid:durableId="1225486612">
    <w:abstractNumId w:val="32"/>
  </w:num>
  <w:num w:numId="53" w16cid:durableId="1124883403">
    <w:abstractNumId w:val="21"/>
  </w:num>
  <w:num w:numId="54" w16cid:durableId="1324897532">
    <w:abstractNumId w:val="32"/>
  </w:num>
  <w:num w:numId="55" w16cid:durableId="1925412892">
    <w:abstractNumId w:val="21"/>
  </w:num>
  <w:num w:numId="56" w16cid:durableId="824319759">
    <w:abstractNumId w:val="32"/>
    <w:lvlOverride w:ilvl="0">
      <w:startOverride w:val="1"/>
    </w:lvlOverride>
  </w:num>
  <w:num w:numId="57" w16cid:durableId="2141802537">
    <w:abstractNumId w:val="32"/>
  </w:num>
  <w:num w:numId="58" w16cid:durableId="443042114">
    <w:abstractNumId w:val="32"/>
    <w:lvlOverride w:ilvl="0">
      <w:startOverride w:val="1"/>
    </w:lvlOverride>
  </w:num>
  <w:num w:numId="59" w16cid:durableId="2013754555">
    <w:abstractNumId w:val="21"/>
  </w:num>
  <w:num w:numId="60" w16cid:durableId="1030885884">
    <w:abstractNumId w:val="32"/>
    <w:lvlOverride w:ilvl="0">
      <w:startOverride w:val="1"/>
    </w:lvlOverride>
  </w:num>
  <w:num w:numId="61" w16cid:durableId="922104095">
    <w:abstractNumId w:val="32"/>
    <w:lvlOverride w:ilvl="0">
      <w:startOverride w:val="1"/>
    </w:lvlOverride>
  </w:num>
  <w:num w:numId="62" w16cid:durableId="258873928">
    <w:abstractNumId w:val="32"/>
  </w:num>
  <w:num w:numId="63" w16cid:durableId="886065078">
    <w:abstractNumId w:val="32"/>
  </w:num>
  <w:num w:numId="64" w16cid:durableId="642084446">
    <w:abstractNumId w:val="21"/>
  </w:num>
  <w:num w:numId="65" w16cid:durableId="923345363">
    <w:abstractNumId w:val="21"/>
  </w:num>
  <w:num w:numId="66" w16cid:durableId="323365687">
    <w:abstractNumId w:val="32"/>
    <w:lvlOverride w:ilvl="0">
      <w:startOverride w:val="1"/>
    </w:lvlOverride>
  </w:num>
  <w:num w:numId="67" w16cid:durableId="102964894">
    <w:abstractNumId w:val="45"/>
  </w:num>
  <w:num w:numId="68" w16cid:durableId="1316303987">
    <w:abstractNumId w:val="21"/>
  </w:num>
  <w:num w:numId="69" w16cid:durableId="124854967">
    <w:abstractNumId w:val="52"/>
  </w:num>
  <w:num w:numId="70" w16cid:durableId="1429500275">
    <w:abstractNumId w:val="21"/>
  </w:num>
  <w:num w:numId="71" w16cid:durableId="1188835170">
    <w:abstractNumId w:val="32"/>
  </w:num>
  <w:num w:numId="72" w16cid:durableId="1427968080">
    <w:abstractNumId w:val="14"/>
  </w:num>
  <w:num w:numId="73" w16cid:durableId="1171602972">
    <w:abstractNumId w:val="18"/>
  </w:num>
  <w:num w:numId="74" w16cid:durableId="1561017895">
    <w:abstractNumId w:val="33"/>
  </w:num>
  <w:num w:numId="75" w16cid:durableId="813064567">
    <w:abstractNumId w:val="33"/>
  </w:num>
  <w:num w:numId="76" w16cid:durableId="859926733">
    <w:abstractNumId w:val="32"/>
    <w:lvlOverride w:ilvl="0">
      <w:startOverride w:val="1"/>
    </w:lvlOverride>
  </w:num>
  <w:num w:numId="77" w16cid:durableId="1543441965">
    <w:abstractNumId w:val="21"/>
  </w:num>
  <w:num w:numId="78" w16cid:durableId="518858588">
    <w:abstractNumId w:val="21"/>
  </w:num>
  <w:num w:numId="79" w16cid:durableId="2109811805">
    <w:abstractNumId w:val="32"/>
  </w:num>
  <w:num w:numId="80" w16cid:durableId="1716345119">
    <w:abstractNumId w:val="32"/>
  </w:num>
  <w:num w:numId="81" w16cid:durableId="1088422651">
    <w:abstractNumId w:val="32"/>
    <w:lvlOverride w:ilvl="0">
      <w:startOverride w:val="1"/>
    </w:lvlOverride>
  </w:num>
  <w:num w:numId="82" w16cid:durableId="2081370552">
    <w:abstractNumId w:val="10"/>
  </w:num>
  <w:num w:numId="83" w16cid:durableId="1726250580">
    <w:abstractNumId w:val="33"/>
  </w:num>
  <w:num w:numId="84" w16cid:durableId="1119492759">
    <w:abstractNumId w:val="28"/>
  </w:num>
  <w:num w:numId="85" w16cid:durableId="271010330">
    <w:abstractNumId w:val="37"/>
  </w:num>
  <w:num w:numId="86" w16cid:durableId="944115728">
    <w:abstractNumId w:val="50"/>
  </w:num>
  <w:num w:numId="87" w16cid:durableId="127548695">
    <w:abstractNumId w:val="11"/>
  </w:num>
  <w:num w:numId="88" w16cid:durableId="400950542">
    <w:abstractNumId w:val="19"/>
  </w:num>
  <w:num w:numId="89" w16cid:durableId="957760164">
    <w:abstractNumId w:val="32"/>
  </w:num>
  <w:num w:numId="90" w16cid:durableId="1014303467">
    <w:abstractNumId w:val="32"/>
  </w:num>
  <w:num w:numId="91" w16cid:durableId="1902903725">
    <w:abstractNumId w:val="32"/>
    <w:lvlOverride w:ilvl="0">
      <w:startOverride w:val="1"/>
    </w:lvlOverride>
  </w:num>
  <w:num w:numId="92" w16cid:durableId="2044862660">
    <w:abstractNumId w:val="40"/>
  </w:num>
  <w:num w:numId="93" w16cid:durableId="117260933">
    <w:abstractNumId w:val="3"/>
  </w:num>
  <w:num w:numId="94" w16cid:durableId="2051106689">
    <w:abstractNumId w:val="2"/>
  </w:num>
  <w:num w:numId="95" w16cid:durableId="2001612053">
    <w:abstractNumId w:val="32"/>
  </w:num>
  <w:num w:numId="96" w16cid:durableId="1586959513">
    <w:abstractNumId w:val="42"/>
  </w:num>
  <w:num w:numId="97" w16cid:durableId="2112159856">
    <w:abstractNumId w:val="32"/>
    <w:lvlOverride w:ilvl="0">
      <w:startOverride w:val="1"/>
    </w:lvlOverride>
  </w:num>
  <w:num w:numId="98" w16cid:durableId="1211383344">
    <w:abstractNumId w:val="32"/>
    <w:lvlOverride w:ilvl="0">
      <w:startOverride w:val="1"/>
    </w:lvlOverride>
  </w:num>
  <w:num w:numId="99" w16cid:durableId="111634809">
    <w:abstractNumId w:val="32"/>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2CB9"/>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432C"/>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A8D"/>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35D"/>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42D"/>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6FD"/>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D7B57"/>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49F6"/>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6D1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38E8"/>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32F"/>
    <w:rsid w:val="005428A0"/>
    <w:rsid w:val="0054304C"/>
    <w:rsid w:val="00543E6C"/>
    <w:rsid w:val="00544F0F"/>
    <w:rsid w:val="00545137"/>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0E20"/>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2A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2822"/>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438C"/>
    <w:rsid w:val="00695FE2"/>
    <w:rsid w:val="00697F47"/>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1683"/>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5FAC"/>
    <w:rsid w:val="006C61F3"/>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3B9"/>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086"/>
    <w:rsid w:val="007F5ED1"/>
    <w:rsid w:val="007F5FF1"/>
    <w:rsid w:val="007F6BE8"/>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1C90"/>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55D3"/>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1CC"/>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4F0"/>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6C89"/>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28C"/>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26F"/>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E2E"/>
    <w:rsid w:val="00DB4509"/>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0FB4"/>
    <w:rsid w:val="00E027D7"/>
    <w:rsid w:val="00E03139"/>
    <w:rsid w:val="00E03465"/>
    <w:rsid w:val="00E03C0D"/>
    <w:rsid w:val="00E04724"/>
    <w:rsid w:val="00E0611B"/>
    <w:rsid w:val="00E06A62"/>
    <w:rsid w:val="00E06C99"/>
    <w:rsid w:val="00E06CCF"/>
    <w:rsid w:val="00E06D6A"/>
    <w:rsid w:val="00E07EE9"/>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68"/>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BF8"/>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2F44"/>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650"/>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E20"/>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style>
  <w:style w:type="paragraph" w:customStyle="1" w:styleId="NW">
    <w:name w:val="NW"/>
    <w:basedOn w:val="NO"/>
    <w:uiPriority w:val="99"/>
    <w:rsid w:val="0083635E"/>
  </w:style>
  <w:style w:type="paragraph" w:customStyle="1" w:styleId="EW">
    <w:name w:val="EW"/>
    <w:basedOn w:val="EX"/>
    <w:uiPriority w:val="99"/>
    <w:rsid w:val="0083635E"/>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ind w:left="1622" w:hanging="363"/>
    </w:pPr>
    <w:rPr>
      <w:rFonts w:eastAsia="MS Mincho"/>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pPr>
    <w:rPr>
      <w:rFonts w:eastAsia="MS Mincho"/>
      <w:b/>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b/>
      <w:bCs/>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style>
  <w:style w:type="paragraph" w:customStyle="1" w:styleId="a">
    <w:name w:val="a"/>
    <w:basedOn w:val="Normal"/>
    <w:qFormat/>
    <w:rsid w:val="007E4B1F"/>
    <w:pPr>
      <w:tabs>
        <w:tab w:val="left" w:pos="1985"/>
      </w:tabs>
      <w:spacing w:after="120" w:line="278" w:lineRule="auto"/>
    </w:pPr>
    <w:rPr>
      <w:rFonts w:cs="Arial"/>
      <w:b/>
      <w:bCs/>
      <w:color w:val="000000"/>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eastAsia="SimSun"/>
      <w:color w:val="FF0000"/>
    </w:rPr>
  </w:style>
  <w:style w:type="paragraph" w:customStyle="1" w:styleId="Proposal">
    <w:name w:val="Proposal"/>
    <w:basedOn w:val="Normal"/>
    <w:link w:val="ProposalChar"/>
    <w:qFormat/>
    <w:rsid w:val="00751E63"/>
    <w:pPr>
      <w:numPr>
        <w:numId w:val="46"/>
      </w:numPr>
      <w:tabs>
        <w:tab w:val="left" w:pos="1560"/>
      </w:tabs>
      <w:spacing w:after="180"/>
    </w:pPr>
    <w:rPr>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textAlignment w:val="baseline"/>
    </w:pPr>
    <w:rPr>
      <w:rFonts w:eastAsia="SimSu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eastAsia="SimSun"/>
      <w:szCs w:val="16"/>
    </w:rPr>
  </w:style>
  <w:style w:type="paragraph" w:styleId="Title">
    <w:name w:val="Title"/>
    <w:basedOn w:val="Normal"/>
    <w:next w:val="Normal"/>
    <w:link w:val="TitleChar"/>
    <w:uiPriority w:val="10"/>
    <w:qFormat/>
    <w:rsid w:val="008A54A5"/>
    <w:pPr>
      <w:spacing w:before="240" w:after="60"/>
      <w:ind w:left="1701" w:hanging="1701"/>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pPr>
  </w:style>
  <w:style w:type="character" w:styleId="Strong">
    <w:name w:val="Strong"/>
    <w:basedOn w:val="DefaultParagraphFont"/>
    <w:uiPriority w:val="22"/>
    <w:qFormat/>
    <w:rsid w:val="006C61F3"/>
    <w:rPr>
      <w:b/>
      <w:bCs/>
    </w:rPr>
  </w:style>
  <w:style w:type="paragraph" w:customStyle="1" w:styleId="done">
    <w:name w:val="done"/>
    <w:basedOn w:val="Normal"/>
    <w:rsid w:val="004249F6"/>
    <w:pPr>
      <w:keepNext/>
      <w:keepLines/>
      <w:widowControl w:val="0"/>
      <w:numPr>
        <w:numId w:val="9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pPr>
    <w:rPr>
      <w:rFonts w:eastAsiaTheme="minorEastAsia"/>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962422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79173397">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086801">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440494216">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1740484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131</TotalTime>
  <Pages>3</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Lijun Dong</cp:lastModifiedBy>
  <cp:revision>12</cp:revision>
  <cp:lastPrinted>2016-01-11T02:35:00Z</cp:lastPrinted>
  <dcterms:created xsi:type="dcterms:W3CDTF">2025-01-08T21:43:00Z</dcterms:created>
  <dcterms:modified xsi:type="dcterms:W3CDTF">2025-02-06T18:40:00Z</dcterms:modified>
</cp:coreProperties>
</file>